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
    <w:p>
      <w:pPr>
        <w:pStyle w:val="Heading1"/>
      </w:pPr>
      <w:r>
        <w:t xml:space="preserve">Homiletics Analysis: Isaiah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 divides into two sharply contrasting movements joined by the hinge of verse 5. The first movement (vv. 1–4) is visionary and eschatological: the prophet sees the mountain of the LORD’s house exalted above all mountains, nations streaming to it, and the LORD issuing His law from Zion as the universal arbiter of peace. Swords become plowshares; war is learned no more. The second movement (vv. 6–22) is prosecutorial and imminent: the LORD has rejected His people because they have filled themselves with foreign alliances, silver and gold, horses and chariots, and idols — the full catalogue of what Deuteronomy 17 forbade Israel’s king. The day of the LORD is announced as the great leveling: everything high and lifted up among men — cedars, oaks, towers, ships, and human pride itself — will be brought low, and the LORD alone will be exalted on that day. The chapter closes with a withering dismissal:</w:t>
      </w:r>
      <w:r>
        <w:t xml:space="preserve"> </w:t>
      </w:r>
      <w:r>
        <w:t xml:space="preserve">“Stop trusting in mere humans, who have but a breath in their nostrils”</w:t>
      </w:r>
      <w:r>
        <w:t xml:space="preserve"> </w:t>
      </w:r>
      <w:r>
        <w:t xml:space="preserve">(v. 22, NIV).</w:t>
      </w:r>
    </w:p>
    <w:p>
      <w:pPr>
        <w:pStyle w:val="BodyText"/>
      </w:pPr>
      <w:r>
        <w:t xml:space="preserve">Verse 5 is the structural and theological pivot:</w:t>
      </w:r>
      <w:r>
        <w:t xml:space="preserve"> </w:t>
      </w:r>
      <w:r>
        <w:t xml:space="preserve">“Come, descendants of Jacob, let us walk in the light of the LORD.”</w:t>
      </w:r>
      <w:r>
        <w:t xml:space="preserve"> </w:t>
      </w:r>
      <w:r>
        <w:t xml:space="preserve">Positioned between the eschatological vision and the present indictment, it functions as a call — if this is what the LORD’s future glory will look like, and if this is what your present life actually looks like, then</w:t>
      </w:r>
      <w:r>
        <w:t xml:space="preserve"> </w:t>
      </w:r>
      <w:r>
        <w:rPr>
          <w:i/>
          <w:iCs/>
        </w:rPr>
        <w:t xml:space="preserve">walk now toward that future</w:t>
      </w:r>
      <w:r>
        <w:t xml:space="preserve">. The contrast between the vision and the indictment is not incidental; it is the argument. The chapter uses the glory of the LORD’s future exaltation to expose the absurdity of present idolatry.</w:t>
      </w:r>
    </w:p>
    <w:p>
      <w:pPr>
        <w:pStyle w:val="BodyText"/>
      </w:pPr>
      <w:r>
        <w:rPr>
          <w:b/>
          <w:bCs/>
        </w:rPr>
        <w:t xml:space="preserve">This Text — Intent</w:t>
      </w:r>
    </w:p>
    <w:p>
      <w:pPr>
        <w:pStyle w:val="BodyText"/>
      </w:pPr>
      <w:r>
        <w:t xml:space="preserve">God is seeking to do two things simultaneously through this passage, and both things are essential to its effect. First, He is reorienting His people’s imagination toward the future He is building — the exaltation of Zion, the gathering of the nations, the reign of universal justice and peace. Second, He is confronting them with the gap between that future and their present posture. The intent is not primarily to terrify, though the Day of the LORD section is terrifying, nor is it primarily to comfort, though the vision is glorious. The intent is to produce</w:t>
      </w:r>
      <w:r>
        <w:t xml:space="preserve"> </w:t>
      </w:r>
      <w:r>
        <w:rPr>
          <w:i/>
          <w:iCs/>
        </w:rPr>
        <w:t xml:space="preserve">reorientation</w:t>
      </w:r>
      <w:r>
        <w:t xml:space="preserve"> </w:t>
      </w:r>
      <w:r>
        <w:t xml:space="preserve">— a turning of the whole person away from the accumulation of false securities (wealth, weapons, alliances, idols) and toward the LORD whose glory alone will stand on that final day. The closing verse makes the intent explicit: the chapter wants the reader to stop trusting in what cannot ultimately hold and to begin walking in the light of the LORD.</w:t>
      </w:r>
    </w:p>
    <w:p>
      <w:r>
        <w:pict>
          <v:rect style="width:0;height:1.5pt" o:hralign="center" o:hrstd="t" o:hr="t"/>
        </w:pict>
      </w:r>
    </w:p>
    <w:p>
      <w:pPr>
        <w:pStyle w:val="FirstParagraph"/>
      </w:pPr>
      <w:r>
        <w:rPr>
          <w:b/>
          <w:bCs/>
        </w:rPr>
        <w:t xml:space="preserve">Subject Sentence:</w:t>
      </w:r>
      <w:r>
        <w:t xml:space="preserve"> </w:t>
      </w:r>
      <w:r>
        <w:t xml:space="preserve">The LORD alone will be exalted — all human pride and idolatry will fall before Him.</w:t>
      </w:r>
    </w:p>
    <w:p>
      <w:r>
        <w:pict>
          <v:rect style="width:0;height:1.5pt" o:hralign="center" o:hrstd="t" o:hr="t"/>
        </w:pict>
      </w:r>
    </w:p>
    <w:p>
      <w:pPr>
        <w:pStyle w:val="FirstParagraph"/>
      </w:pPr>
      <w:r>
        <w:rPr>
          <w:b/>
          <w:bCs/>
        </w:rPr>
        <w:t xml:space="preserve">Primary Claim:</w:t>
      </w:r>
      <w:r>
        <w:t xml:space="preserve"> </w:t>
      </w:r>
      <w:r>
        <w:t xml:space="preserve">God is confronting His people with the absurdity and coming ruin of every substitute for His lordship, and calling them to walk now in the light of the future He has already secured — because on that day, He alone will stand.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eschatological vision of verses 1–4 (parallel: Micah 4:1–3)</w:t>
      </w:r>
    </w:p>
    <w:p>
      <w:pPr>
        <w:pStyle w:val="BodyText"/>
      </w:pPr>
      <w:r>
        <w:t xml:space="preserve">The most significant interpretive division concerns the referent of the exalted mountain and the gathering of the nations. Three readings compete. Dispensational interpreters read this as a millennial promise to national Israel, fulfilled in a literal thousand-year reign centered on a rebuilt Jerusalem. The nations literally stream to a geographically elevated Zion during the millennium. Reformed and covenant interpreters read this as a prophecy of the gospel age, inaugurated at Pentecost and continuing through the church’s mission — the nations streaming to the LORD’s house is the ingathering of the Gentiles into the covenant community. A third reading holds that the passage is entirely eschatological and future, describing the new creation order.</w:t>
      </w:r>
    </w:p>
    <w:p>
      <w:pPr>
        <w:pStyle w:val="BodyText"/>
      </w:pPr>
      <w:r>
        <w:t xml:space="preserve">The second reading accounts best for the passage’s canonical context.</w:t>
      </w:r>
      <w:r>
        <w:t xml:space="preserve"> </w:t>
      </w:r>
      <w:r>
        <w:t xml:space="preserve">“In the last days”</w:t>
      </w:r>
      <w:r>
        <w:t xml:space="preserve"> </w:t>
      </w:r>
      <w:r>
        <w:t xml:space="preserve">(</w:t>
      </w:r>
      <w:r>
        <w:rPr>
          <w:i/>
          <w:iCs/>
        </w:rPr>
        <w:t xml:space="preserve">b’acharit hayyamim</w:t>
      </w:r>
      <w:r>
        <w:t xml:space="preserve">) in Isaiah’s idiom refers to the messianic era, not to a narrow millennial slice of it. The parallel in Micah 4 and the use of this same phrase across the prophets consistently signals the era inaugurated by Messiah. The nations coming to learn the LORD’s ways finds its clearest New Testament fulfillment in the Great Commission and Pentecost (Acts 2), where Jews and Gentiles are drawn to the exalted Christ. This does not evacuate the passage of its future consummation dimension — the vision will be</w:t>
      </w:r>
      <w:r>
        <w:t xml:space="preserve"> </w:t>
      </w:r>
      <w:r>
        <w:rPr>
          <w:i/>
          <w:iCs/>
        </w:rPr>
        <w:t xml:space="preserve">fully</w:t>
      </w:r>
      <w:r>
        <w:t xml:space="preserve"> </w:t>
      </w:r>
      <w:r>
        <w:t xml:space="preserve">realized at the return of Christ — but the Reformed reading rightly sees the vision as already in motion. The dispensational reading must create an artificial gap between the church age and the millennium that the text itself does not require and that weakens the passage’s direct claim on present readers.</w:t>
      </w:r>
    </w:p>
    <w:p>
      <w:pPr>
        <w:pStyle w:val="BodyText"/>
      </w:pPr>
      <w:r>
        <w:rPr>
          <w:b/>
          <w:bCs/>
        </w:rPr>
        <w:t xml:space="preserve">The</w:t>
      </w:r>
      <w:r>
        <w:rPr>
          <w:b/>
          <w:bCs/>
        </w:rPr>
        <w:t xml:space="preserve"> </w:t>
      </w:r>
      <w:r>
        <w:rPr>
          <w:b/>
          <w:bCs/>
        </w:rPr>
        <w:t xml:space="preserve">“Day of the LORD”</w:t>
      </w:r>
      <w:r>
        <w:rPr>
          <w:b/>
          <w:bCs/>
        </w:rPr>
        <w:t xml:space="preserve"> </w:t>
      </w:r>
      <w:r>
        <w:rPr>
          <w:b/>
          <w:bCs/>
        </w:rPr>
        <w:t xml:space="preserve">section (vv. 6–22)</w:t>
      </w:r>
    </w:p>
    <w:p>
      <w:pPr>
        <w:pStyle w:val="BodyText"/>
      </w:pPr>
      <w:r>
        <w:t xml:space="preserve">Some interpreters read the Day of the LORD material here as purely historical — a reference to Assyrian or Babylonian invasion — and others as entirely eschatological. Both readings partially hold but neither is sufficient alone. Isaiah’s Day of the LORD language typically operates on two planes simultaneously: a near historical fulfillment that functions as a type and pledge of the final eschatological fulfillment. The Assyrian crisis (and later Babylon) is the historical near-term expression of the judgment described here, but the scale of the language —</w:t>
      </w:r>
      <w:r>
        <w:t xml:space="preserve"> </w:t>
      </w:r>
      <w:r>
        <w:t xml:space="preserve">“the LORD alone will be exalted,”</w:t>
      </w:r>
      <w:r>
        <w:t xml:space="preserve"> </w:t>
      </w:r>
      <w:r>
        <w:t xml:space="preserve">“all the idols will utterly pass away,”</w:t>
      </w:r>
      <w:r>
        <w:t xml:space="preserve"> </w:t>
      </w:r>
      <w:r>
        <w:t xml:space="preserve">the complete leveling of everything humanly elevated — exceeds any historical event and anticipates the consummation. Both referents are real; neither exhausts the passage. For preaching purposes, this means the passage’s demand is not merely historical or theoretical but presses on every present reader with eschatological urgency.</w:t>
      </w:r>
    </w:p>
    <w:p>
      <w:pPr>
        <w:pStyle w:val="BodyText"/>
      </w:pPr>
      <w:r>
        <w:rPr>
          <w:b/>
          <w:bCs/>
        </w:rPr>
        <w:t xml:space="preserve">The Reformed reading and what it demands</w:t>
      </w:r>
    </w:p>
    <w:p>
      <w:pPr>
        <w:pStyle w:val="BodyText"/>
      </w:pPr>
      <w:r>
        <w:t xml:space="preserve">The Reformed reading of this chapter insists that the contrast between vv. 1–4 and vv. 6–22 is the hermeneutical key to the whole. The vision is not decoration preceding the indictment; the indictment derives its force entirely from the vision. Israel is condemned not because they are being compared to an abstract standard of morality, but because they are living in contradiction to the future God has already announced. The LORD who will be universally exalted, whose law will go out from Zion, whose arbitration will end war — that LORD has been replaced in Israel’s practical allegiance by silver and gold and foreign horses. The absurdity is theological before it is moral. This is a Reformed emphasis worth retaining against readings that reduce the chapter to a moral critique of wealth or militarism.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Micah 4:1–5</w:t>
      </w:r>
      <w:r>
        <w:t xml:space="preserve"> </w:t>
      </w:r>
      <w:r>
        <w:t xml:space="preserve">— Nearly identical to Isaiah 2:2–4, confirming this as a shared eschatological vision of the nations streaming to the LORD; Micah 4:5 adds the present response (</w:t>
      </w:r>
      <w:r>
        <w:t xml:space="preserve">“we will walk in the name of the LORD our God”</w:t>
      </w:r>
      <w:r>
        <w:t xml:space="preserve">), making explicit what Isaiah 2:5 implies.</w:t>
      </w:r>
    </w:p>
    <w:p>
      <w:pPr>
        <w:numPr>
          <w:ilvl w:val="0"/>
          <w:numId w:val="1001"/>
        </w:numPr>
      </w:pPr>
      <w:r>
        <w:rPr>
          <w:b/>
          <w:bCs/>
        </w:rPr>
        <w:t xml:space="preserve">Deuteronomy 17:14–20</w:t>
      </w:r>
      <w:r>
        <w:t xml:space="preserve"> </w:t>
      </w:r>
      <w:r>
        <w:t xml:space="preserve">— The law for Israel’s king prohibiting the multiplication of horses, silver, gold, and foreign wives — the precise catalogue of idolatries condemned in Isaiah 2:6–8; the chapter’s indictment is not generalized but is a specific violation of covenant law.</w:t>
      </w:r>
    </w:p>
    <w:p>
      <w:pPr>
        <w:numPr>
          <w:ilvl w:val="0"/>
          <w:numId w:val="1001"/>
        </w:numPr>
      </w:pPr>
      <w:r>
        <w:rPr>
          <w:b/>
          <w:bCs/>
        </w:rPr>
        <w:t xml:space="preserve">Philippians 2:9–11</w:t>
      </w:r>
      <w:r>
        <w:t xml:space="preserve"> </w:t>
      </w:r>
      <w:r>
        <w:t xml:space="preserve">— The exaltation of Christ as LORD to whom every knee will bow fulfills the eschatological claim of Isaiah 2:11–17 that the LORD alone will be exalted; what Isaiah sees abstractly, Paul identifies as accomplished in and through Christ.</w:t>
      </w:r>
    </w:p>
    <w:p>
      <w:pPr>
        <w:numPr>
          <w:ilvl w:val="0"/>
          <w:numId w:val="1001"/>
        </w:numPr>
      </w:pPr>
      <w:r>
        <w:rPr>
          <w:b/>
          <w:bCs/>
        </w:rPr>
        <w:t xml:space="preserve">Revelation 21:22–26</w:t>
      </w:r>
      <w:r>
        <w:t xml:space="preserve"> </w:t>
      </w:r>
      <w:r>
        <w:t xml:space="preserve">— The nations walking by the light of the new Jerusalem, bringing their glory into it, realizes the vision of Isaiah 2:2–4 in its final consummated form; Isaiah’s mountain becomes the new Jerusalem; the streaming of nations becomes the eternal inheritance.</w:t>
      </w:r>
    </w:p>
    <w:p>
      <w:pPr>
        <w:numPr>
          <w:ilvl w:val="0"/>
          <w:numId w:val="1001"/>
        </w:numPr>
      </w:pPr>
      <w:r>
        <w:rPr>
          <w:b/>
          <w:bCs/>
        </w:rPr>
        <w:t xml:space="preserve">Jeremiah 17:5–8</w:t>
      </w:r>
      <w:r>
        <w:t xml:space="preserve"> </w:t>
      </w:r>
      <w:r>
        <w:t xml:space="preserve">—</w:t>
      </w:r>
      <w:r>
        <w:t xml:space="preserve"> </w:t>
      </w:r>
      <w:r>
        <w:t xml:space="preserve">“Cursed is the one who trusts in man”</w:t>
      </w:r>
      <w:r>
        <w:t xml:space="preserve"> </w:t>
      </w:r>
      <w:r>
        <w:t xml:space="preserve">directly parallels Isaiah 2:22; both passages make trust in human resources the root failure and ground the curse in the LORD’s exclusive claim on allegiance.</w:t>
      </w:r>
    </w:p>
    <w:p>
      <w:r>
        <w:pict>
          <v:rect style="width:0;height:1.5pt" o:hralign="center" o:hrstd="t" o:hr="t"/>
        </w:pict>
      </w:r>
    </w:p>
    <w:p>
      <w:pPr>
        <w:pStyle w:val="FirstParagraph"/>
      </w:pPr>
      <w:r>
        <w:rPr>
          <w:b/>
          <w:bCs/>
        </w:rPr>
        <w:t xml:space="preserve">Aim:</w:t>
      </w:r>
      <w:r>
        <w:t xml:space="preserve"> </w:t>
      </w:r>
      <w:r>
        <w:t xml:space="preserve">To show that every form of misplaced trust — in wealth, power, alliances, or human strength — is not merely sin but absurdity in light of the LORD’s coming exaltation, and to call readers to walk now in the light of that future.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Isaiah’s vision concerning Judah and Jerusalem</w:t>
            </w:r>
          </w:p>
        </w:tc>
        <w:tc>
          <w:tcPr/>
          <w:p>
            <w:pPr>
              <w:pStyle w:val="Compact"/>
            </w:pPr>
            <w:r>
              <w:t xml:space="preserve">Distinguishes this oracle as a distinct unit from ch. 1</w:t>
            </w:r>
          </w:p>
        </w:tc>
      </w:tr>
      <w:tr>
        <w:tc>
          <w:tcPr/>
          <w:p>
            <w:pPr>
              <w:pStyle w:val="Compact"/>
            </w:pPr>
            <w:r>
              <w:t xml:space="preserve">2–3</w:t>
            </w:r>
          </w:p>
        </w:tc>
        <w:tc>
          <w:tcPr/>
          <w:p>
            <w:pPr>
              <w:pStyle w:val="Compact"/>
            </w:pPr>
            <w:r>
              <w:t xml:space="preserve">Eschatological vision: the LORD’s mountain exalted, nations streaming to learn His ways</w:t>
            </w:r>
          </w:p>
        </w:tc>
        <w:tc>
          <w:tcPr/>
          <w:p>
            <w:pPr>
              <w:pStyle w:val="Compact"/>
            </w:pPr>
            <w:r>
              <w:rPr>
                <w:i/>
                <w:iCs/>
              </w:rPr>
              <w:t xml:space="preserve">b’acharit hayyamim</w:t>
            </w:r>
            <w:r>
              <w:t xml:space="preserve"> </w:t>
            </w:r>
            <w:r>
              <w:t xml:space="preserve">—</w:t>
            </w:r>
            <w:r>
              <w:t xml:space="preserve"> </w:t>
            </w:r>
            <w:r>
              <w:t xml:space="preserve">“in the last days”</w:t>
            </w:r>
            <w:r>
              <w:t xml:space="preserve">; the nations come voluntarily to be taught</w:t>
            </w:r>
          </w:p>
        </w:tc>
      </w:tr>
      <w:tr>
        <w:tc>
          <w:tcPr/>
          <w:p>
            <w:pPr>
              <w:pStyle w:val="Compact"/>
            </w:pPr>
            <w:r>
              <w:t xml:space="preserve">4</w:t>
            </w:r>
          </w:p>
        </w:tc>
        <w:tc>
          <w:tcPr/>
          <w:p>
            <w:pPr>
              <w:pStyle w:val="Compact"/>
            </w:pPr>
            <w:r>
              <w:t xml:space="preserve">The LORD arbitrates between nations; swords to plowshares; war ceases</w:t>
            </w:r>
          </w:p>
        </w:tc>
        <w:tc>
          <w:tcPr/>
          <w:p>
            <w:pPr>
              <w:pStyle w:val="Compact"/>
            </w:pPr>
            <w:r>
              <w:t xml:space="preserve">Universal peace as the outcome of the LORD’s reign; the nations’ weapons are repurposed</w:t>
            </w:r>
          </w:p>
        </w:tc>
      </w:tr>
      <w:tr>
        <w:tc>
          <w:tcPr/>
          <w:p>
            <w:pPr>
              <w:pStyle w:val="Compact"/>
            </w:pPr>
            <w:r>
              <w:t xml:space="preserve">5</w:t>
            </w:r>
          </w:p>
        </w:tc>
        <w:tc>
          <w:tcPr/>
          <w:p>
            <w:pPr>
              <w:pStyle w:val="Compact"/>
            </w:pPr>
            <w:r>
              <w:t xml:space="preserve">Pivot:</w:t>
            </w:r>
            <w:r>
              <w:t xml:space="preserve"> </w:t>
            </w:r>
            <w:r>
              <w:t xml:space="preserve">“Come, let us walk in the light of the LORD”</w:t>
            </w:r>
          </w:p>
        </w:tc>
        <w:tc>
          <w:tcPr/>
          <w:p>
            <w:pPr>
              <w:pStyle w:val="Compact"/>
            </w:pPr>
            <w:r>
              <w:t xml:space="preserve">Direct address to Jacob; the vision generates an imperative; this verse is the hinge of the whole chapter</w:t>
            </w:r>
          </w:p>
        </w:tc>
      </w:tr>
      <w:tr>
        <w:tc>
          <w:tcPr/>
          <w:p>
            <w:pPr>
              <w:pStyle w:val="Compact"/>
            </w:pPr>
            <w:r>
              <w:t xml:space="preserve">6–8</w:t>
            </w:r>
          </w:p>
        </w:tc>
        <w:tc>
          <w:tcPr/>
          <w:p>
            <w:pPr>
              <w:pStyle w:val="Compact"/>
            </w:pPr>
            <w:r>
              <w:t xml:space="preserve">Indictment: the LORD has rejected His people — foreign superstitions, wealth, horses, idols</w:t>
            </w:r>
          </w:p>
        </w:tc>
        <w:tc>
          <w:tcPr/>
          <w:p>
            <w:pPr>
              <w:pStyle w:val="Compact"/>
            </w:pPr>
            <w:r>
              <w:t xml:space="preserve">The catalogue echoes Deut. 17; the people have imported what God prohibited;</w:t>
            </w:r>
            <w:r>
              <w:t xml:space="preserve"> </w:t>
            </w:r>
            <w:r>
              <w:t xml:space="preserve">“hands they have made”</w:t>
            </w:r>
            <w:r>
              <w:t xml:space="preserve"> </w:t>
            </w:r>
            <w:r>
              <w:t xml:space="preserve">— idolatry is explicitly the work of their own hands</w:t>
            </w:r>
          </w:p>
        </w:tc>
      </w:tr>
      <w:tr>
        <w:tc>
          <w:tcPr/>
          <w:p>
            <w:pPr>
              <w:pStyle w:val="Compact"/>
            </w:pPr>
            <w:r>
              <w:t xml:space="preserve">9</w:t>
            </w:r>
          </w:p>
        </w:tc>
        <w:tc>
          <w:tcPr/>
          <w:p>
            <w:pPr>
              <w:pStyle w:val="Compact"/>
            </w:pPr>
            <w:r>
              <w:t xml:space="preserve">Human beings bow down; they are humbled — do not forgive them</w:t>
            </w:r>
          </w:p>
        </w:tc>
        <w:tc>
          <w:tcPr/>
          <w:p>
            <w:pPr>
              <w:pStyle w:val="Compact"/>
            </w:pPr>
            <w:r>
              <w:t xml:space="preserve">The humbling is presented as fitting; the request not to forgive anticipates the Day of the LORD</w:t>
            </w:r>
          </w:p>
        </w:tc>
      </w:tr>
      <w:tr>
        <w:tc>
          <w:tcPr/>
          <w:p>
            <w:pPr>
              <w:pStyle w:val="Compact"/>
            </w:pPr>
            <w:r>
              <w:t xml:space="preserve">10–11</w:t>
            </w:r>
          </w:p>
        </w:tc>
        <w:tc>
          <w:tcPr/>
          <w:p>
            <w:pPr>
              <w:pStyle w:val="Compact"/>
            </w:pPr>
            <w:r>
              <w:t xml:space="preserve">Call to hide from the LORD’s terror; human pride will be humbled, the LORD alone exalted</w:t>
            </w:r>
          </w:p>
        </w:tc>
        <w:tc>
          <w:tcPr/>
          <w:p>
            <w:pPr>
              <w:pStyle w:val="Compact"/>
            </w:pPr>
            <w:r>
              <w:t xml:space="preserve">The refrain</w:t>
            </w:r>
            <w:r>
              <w:t xml:space="preserve"> </w:t>
            </w:r>
            <w:r>
              <w:t xml:space="preserve">“the LORD alone will be exalted in that day”</w:t>
            </w:r>
            <w:r>
              <w:t xml:space="preserve"> </w:t>
            </w:r>
            <w:r>
              <w:t xml:space="preserve">anchors this section (repeated in v. 17)</w:t>
            </w:r>
          </w:p>
        </w:tc>
      </w:tr>
      <w:tr>
        <w:tc>
          <w:tcPr/>
          <w:p>
            <w:pPr>
              <w:pStyle w:val="Compact"/>
            </w:pPr>
            <w:r>
              <w:t xml:space="preserve">12–16</w:t>
            </w:r>
          </w:p>
        </w:tc>
        <w:tc>
          <w:tcPr/>
          <w:p>
            <w:pPr>
              <w:pStyle w:val="Compact"/>
            </w:pPr>
            <w:r>
              <w:t xml:space="preserve">The Day of the LORD against everything lifted up: cedars, oaks, mountains, towers, ships</w:t>
            </w:r>
          </w:p>
        </w:tc>
        <w:tc>
          <w:tcPr/>
          <w:p>
            <w:pPr>
              <w:pStyle w:val="Compact"/>
            </w:pPr>
            <w:r>
              <w:t xml:space="preserve">The list moves from natural grandeur to human construction — all of it will fall</w:t>
            </w:r>
          </w:p>
        </w:tc>
      </w:tr>
      <w:tr>
        <w:tc>
          <w:tcPr/>
          <w:p>
            <w:pPr>
              <w:pStyle w:val="Compact"/>
            </w:pPr>
            <w:r>
              <w:t xml:space="preserve">17</w:t>
            </w:r>
          </w:p>
        </w:tc>
        <w:tc>
          <w:tcPr/>
          <w:p>
            <w:pPr>
              <w:pStyle w:val="Compact"/>
            </w:pPr>
            <w:r>
              <w:t xml:space="preserve">Human arrogance humbled; idols pass away; the LORD alone exalted</w:t>
            </w:r>
          </w:p>
        </w:tc>
        <w:tc>
          <w:tcPr/>
          <w:p>
            <w:pPr>
              <w:pStyle w:val="Compact"/>
            </w:pPr>
            <w:r>
              <w:t xml:space="preserve">Refrain repeated; the argument closes</w:t>
            </w:r>
          </w:p>
        </w:tc>
      </w:tr>
      <w:tr>
        <w:tc>
          <w:tcPr/>
          <w:p>
            <w:pPr>
              <w:pStyle w:val="Compact"/>
            </w:pPr>
            <w:r>
              <w:t xml:space="preserve">18</w:t>
            </w:r>
          </w:p>
        </w:tc>
        <w:tc>
          <w:tcPr/>
          <w:p>
            <w:pPr>
              <w:pStyle w:val="Compact"/>
            </w:pPr>
            <w:r>
              <w:t xml:space="preserve">The idols will utterly pass away</w:t>
            </w:r>
          </w:p>
        </w:tc>
        <w:tc>
          <w:tcPr/>
          <w:p>
            <w:pPr>
              <w:pStyle w:val="Compact"/>
            </w:pPr>
            <w:r>
              <w:t xml:space="preserve">Brief, declarative; their end is total</w:t>
            </w:r>
          </w:p>
        </w:tc>
      </w:tr>
      <w:tr>
        <w:tc>
          <w:tcPr/>
          <w:p>
            <w:pPr>
              <w:pStyle w:val="Compact"/>
            </w:pPr>
            <w:r>
              <w:t xml:space="preserve">19–21</w:t>
            </w:r>
          </w:p>
        </w:tc>
        <w:tc>
          <w:tcPr/>
          <w:p>
            <w:pPr>
              <w:pStyle w:val="Compact"/>
            </w:pPr>
            <w:r>
              <w:t xml:space="preserve">People flee into rocks and caves from the terror of the LORD; they throw away their idols</w:t>
            </w:r>
          </w:p>
        </w:tc>
        <w:tc>
          <w:tcPr/>
          <w:p>
            <w:pPr>
              <w:pStyle w:val="Compact"/>
            </w:pPr>
            <w:r>
              <w:t xml:space="preserve">In the moment of judgment, the idols they accumulated are worthless; they hide them rather than trust them</w:t>
            </w:r>
          </w:p>
        </w:tc>
      </w:tr>
      <w:tr>
        <w:tc>
          <w:tcPr/>
          <w:p>
            <w:pPr>
              <w:pStyle w:val="Compact"/>
            </w:pPr>
            <w:r>
              <w:t xml:space="preserve">22</w:t>
            </w:r>
          </w:p>
        </w:tc>
        <w:tc>
          <w:tcPr/>
          <w:p>
            <w:pPr>
              <w:pStyle w:val="Compact"/>
            </w:pPr>
            <w:r>
              <w:t xml:space="preserve">Closing admonition: stop trusting in humans who have but a breath in their nostrils</w:t>
            </w:r>
          </w:p>
        </w:tc>
        <w:tc>
          <w:tcPr/>
          <w:p>
            <w:pPr>
              <w:pStyle w:val="Compact"/>
            </w:pPr>
            <w:r>
              <w:t xml:space="preserve">The practical conclusion of the whole chapter; a direct call to redirect trust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Superscription</w:t>
            </w:r>
          </w:p>
        </w:tc>
      </w:tr>
      <w:tr>
        <w:tc>
          <w:tcPr/>
          <w:p>
            <w:pPr>
              <w:pStyle w:val="Compact"/>
            </w:pPr>
            <w:r>
              <w:t xml:space="preserve">2</w:t>
            </w:r>
          </w:p>
        </w:tc>
        <w:tc>
          <w:tcPr/>
          <w:p>
            <w:pPr>
              <w:pStyle w:val="Compact"/>
            </w:pPr>
            <w:r>
              <w:t xml:space="preserve">2–4</w:t>
            </w:r>
          </w:p>
        </w:tc>
        <w:tc>
          <w:tcPr/>
          <w:p>
            <w:pPr>
              <w:pStyle w:val="Compact"/>
            </w:pPr>
            <w:r>
              <w:t xml:space="preserve">The Vision: The LORD’s Exaltation and the Nations’ Coming</w:t>
            </w:r>
          </w:p>
        </w:tc>
      </w:tr>
      <w:tr>
        <w:tc>
          <w:tcPr/>
          <w:p>
            <w:pPr>
              <w:pStyle w:val="Compact"/>
            </w:pPr>
            <w:r>
              <w:t xml:space="preserve">3</w:t>
            </w:r>
          </w:p>
        </w:tc>
        <w:tc>
          <w:tcPr/>
          <w:p>
            <w:pPr>
              <w:pStyle w:val="Compact"/>
            </w:pPr>
            <w:r>
              <w:t xml:space="preserve">5</w:t>
            </w:r>
          </w:p>
        </w:tc>
        <w:tc>
          <w:tcPr/>
          <w:p>
            <w:pPr>
              <w:pStyle w:val="Compact"/>
            </w:pPr>
            <w:r>
              <w:t xml:space="preserve">The Pivot: Walking in the Light of the LORD</w:t>
            </w:r>
          </w:p>
        </w:tc>
      </w:tr>
      <w:tr>
        <w:tc>
          <w:tcPr/>
          <w:p>
            <w:pPr>
              <w:pStyle w:val="Compact"/>
            </w:pPr>
            <w:r>
              <w:t xml:space="preserve">4</w:t>
            </w:r>
          </w:p>
        </w:tc>
        <w:tc>
          <w:tcPr/>
          <w:p>
            <w:pPr>
              <w:pStyle w:val="Compact"/>
            </w:pPr>
            <w:r>
              <w:t xml:space="preserve">6–9</w:t>
            </w:r>
          </w:p>
        </w:tc>
        <w:tc>
          <w:tcPr/>
          <w:p>
            <w:pPr>
              <w:pStyle w:val="Compact"/>
            </w:pPr>
            <w:r>
              <w:t xml:space="preserve">The Indictment: How Israel Has Filled Itself with Substitutes</w:t>
            </w:r>
          </w:p>
        </w:tc>
      </w:tr>
      <w:tr>
        <w:tc>
          <w:tcPr/>
          <w:p>
            <w:pPr>
              <w:pStyle w:val="Compact"/>
            </w:pPr>
            <w:r>
              <w:t xml:space="preserve">5</w:t>
            </w:r>
          </w:p>
        </w:tc>
        <w:tc>
          <w:tcPr/>
          <w:p>
            <w:pPr>
              <w:pStyle w:val="Compact"/>
            </w:pPr>
            <w:r>
              <w:t xml:space="preserve">10–18</w:t>
            </w:r>
          </w:p>
        </w:tc>
        <w:tc>
          <w:tcPr/>
          <w:p>
            <w:pPr>
              <w:pStyle w:val="Compact"/>
            </w:pPr>
            <w:r>
              <w:t xml:space="preserve">The Day: The LORD Alone Exalted, Everything Else Brought Low</w:t>
            </w:r>
          </w:p>
        </w:tc>
      </w:tr>
      <w:tr>
        <w:tc>
          <w:tcPr/>
          <w:p>
            <w:pPr>
              <w:pStyle w:val="Compact"/>
            </w:pPr>
            <w:r>
              <w:t xml:space="preserve">6</w:t>
            </w:r>
          </w:p>
        </w:tc>
        <w:tc>
          <w:tcPr/>
          <w:p>
            <w:pPr>
              <w:pStyle w:val="Compact"/>
            </w:pPr>
            <w:r>
              <w:t xml:space="preserve">19–21</w:t>
            </w:r>
          </w:p>
        </w:tc>
        <w:tc>
          <w:tcPr/>
          <w:p>
            <w:pPr>
              <w:pStyle w:val="Compact"/>
            </w:pPr>
            <w:r>
              <w:t xml:space="preserve">The Flight: Idols Abandoned When the Day Comes</w:t>
            </w:r>
          </w:p>
        </w:tc>
      </w:tr>
      <w:tr>
        <w:tc>
          <w:tcPr/>
          <w:p>
            <w:pPr>
              <w:pStyle w:val="Compact"/>
            </w:pPr>
            <w:r>
              <w:t xml:space="preserve">7</w:t>
            </w:r>
          </w:p>
        </w:tc>
        <w:tc>
          <w:tcPr/>
          <w:p>
            <w:pPr>
              <w:pStyle w:val="Compact"/>
            </w:pPr>
            <w:r>
              <w:t xml:space="preserve">22</w:t>
            </w:r>
          </w:p>
        </w:tc>
        <w:tc>
          <w:tcPr/>
          <w:p>
            <w:pPr>
              <w:pStyle w:val="Compact"/>
            </w:pPr>
            <w:r>
              <w:t xml:space="preserve">The Charge: Stop Trusting in Humans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will be exalted — all human pride and idolatry will fall before Him.</w:t>
      </w:r>
    </w:p>
    <w:p>
      <w:pPr>
        <w:pStyle w:val="BodyText"/>
      </w:pPr>
      <w:r>
        <w:rPr>
          <w:b/>
          <w:bCs/>
        </w:rPr>
        <w:t xml:space="preserve">Primary Claim:</w:t>
      </w:r>
      <w:r>
        <w:t xml:space="preserve"> </w:t>
      </w:r>
      <w:r>
        <w:t xml:space="preserve">God is confronting His people with the absurdity and coming ruin of every substitute for His lordship, and calling them to walk now in the light of the future He has already secured — because on that day, He alone will stand.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the eschatological future should govern present allegiance.</w:t>
      </w:r>
      <w:r>
        <w:t xml:space="preserve"> </w:t>
      </w:r>
      <w:r>
        <w:t xml:space="preserve">The vision of Isaiah 2:2–4 is not escapism or consolation — it is the frame within which all present choices are evaluated. The person who has genuinely seen where history is heading — to the universal exaltation of the LORD, to nations streaming to His mountain, to war permanently ended — cannot continue to invest in the substitutes that the chapter catalogues. Most people navigate life from the assumption that present power structures and financial securities are the permanent fixtures of reality. Isaiah 2 demands a cognitive reorientation: the permanent fixture is the LORD’s exaltation; everything else is temporary inventory. Preach this to the believer who has ordered her whole life around financial security or professional achievement — not because these are evil, but because they are held with a weight they cannot bear and will not retain.</w:t>
      </w:r>
    </w:p>
    <w:p>
      <w:pPr>
        <w:pStyle w:val="BodyText"/>
      </w:pPr>
      <w:r>
        <w:rPr>
          <w:b/>
          <w:bCs/>
        </w:rPr>
        <w:t xml:space="preserve">2. [Affections/Worship] Grieve the specific idolatries you have imported into your life to supplement the LORD.</w:t>
      </w:r>
      <w:r>
        <w:t xml:space="preserve"> </w:t>
      </w:r>
      <w:r>
        <w:t xml:space="preserve">The indictment of Isaiah 2:6–8 is precise: Israel imported substitutes. They did not abandon the LORD outright; they</w:t>
      </w:r>
      <w:r>
        <w:t xml:space="preserve"> </w:t>
      </w:r>
      <w:r>
        <w:rPr>
          <w:i/>
          <w:iCs/>
        </w:rPr>
        <w:t xml:space="preserve">supplemented</w:t>
      </w:r>
      <w:r>
        <w:t xml:space="preserve"> </w:t>
      </w:r>
      <w:r>
        <w:t xml:space="preserve">Him — with foreign wisdom, accumulated wealth, military capacity, and hand-made religion. The heart’s default setting is not atheism but supplement — adding to the LORD what we feel He alone cannot provide. Identify the specific supplements you have imported: the relational security that must come from that person’s approval, the vocational significance that must come from that title, the safety that must come from that account balance. The text does not ask for generic repentance of</w:t>
      </w:r>
      <w:r>
        <w:t xml:space="preserve"> </w:t>
      </w:r>
      <w:r>
        <w:t xml:space="preserve">“trusting in things”</w:t>
      </w:r>
      <w:r>
        <w:t xml:space="preserve"> </w:t>
      </w:r>
      <w:r>
        <w:t xml:space="preserve">— it asks for the grief of recognizing that you have gone to secondary sources for what only the LORD can give, and that those sources will be thrown into the rocks and caves when the day comes.</w:t>
      </w:r>
    </w:p>
    <w:p>
      <w:pPr>
        <w:pStyle w:val="BodyText"/>
      </w:pPr>
      <w:r>
        <w:rPr>
          <w:b/>
          <w:bCs/>
        </w:rPr>
        <w:t xml:space="preserve">3. [Will/Behavior] Stop ��� concretely — trusting in what human beings can provide that the LORD has not promised.</w:t>
      </w:r>
      <w:r>
        <w:t xml:space="preserve"> </w:t>
      </w:r>
      <w:r>
        <w:t xml:space="preserve">Isaiah 2:22 is as blunt as Scripture gets:</w:t>
      </w:r>
      <w:r>
        <w:t xml:space="preserve"> </w:t>
      </w:r>
      <w:r>
        <w:t xml:space="preserve">“Stop trusting in mere humans, who have but a breath in their nostrils.”</w:t>
      </w:r>
      <w:r>
        <w:t xml:space="preserve"> </w:t>
      </w:r>
      <w:r>
        <w:t xml:space="preserve">This is not a call to misanthropy or to refuse human relationships and institutions — it is a call to locate your ultimate reliance correctly. Name the specific area of your life where you are currently trusting in a person, a system, or an institution to provide what only God can provide. The application is behavioral because behavior is where misplaced trust shows itself: in who you call first in a crisis, in what you check first in the morning, in what decision you cannot make without a specific person’s approval. The charge of v. 22 is an imperative — stop — which means it requires a decision followed by a changed practice.</w:t>
      </w:r>
    </w:p>
    <w:p>
      <w:pPr>
        <w:pStyle w:val="BodyText"/>
      </w:pPr>
      <w:r>
        <w:rPr>
          <w:b/>
          <w:bCs/>
        </w:rPr>
        <w:t xml:space="preserve">4. [Affections/Worship] Let the terror of the Day of the LORD produce healthy fear that purifies your worship now.</w:t>
      </w:r>
      <w:r>
        <w:t xml:space="preserve"> </w:t>
      </w:r>
      <w:r>
        <w:t xml:space="preserve">The imagery of vv. 10–21 is designed to produce something — not paralyzing dread, but the kind of holy fear that reorders a life. The people in those verses are not wicked pagans; they are covenant people who chose wrong objects of trust. When the day comes, they will hide in rock crevices and throw away the silver and gold idols they carried with them — the very things they spent their lives accumulating. The preacher should not rush past this. Isaiah wants the reader to feel the futility of it: imagine carrying your most prized possessions into a cave to hide from God and finding that you cannot hide and that what you carried is now worthless. Let that image do its work. Appropriate fear of the LORD is not incompatible with loving Him — it is, in Isaiah’s vision, the beginning of redirecting love correctly.</w:t>
      </w:r>
    </w:p>
    <w:p>
      <w:pPr>
        <w:pStyle w:val="BodyText"/>
      </w:pPr>
      <w:r>
        <w:rPr>
          <w:b/>
          <w:bCs/>
        </w:rPr>
        <w:t xml:space="preserve">5. [Mind/Belief] Understand that verse 5 is the whole chapter’s demand — and that walking in the light is possible precisely because the vision of verses 2–4 is true.</w:t>
      </w:r>
      <w:r>
        <w:t xml:space="preserve"> </w:t>
      </w:r>
      <w:r>
        <w:t xml:space="preserve">The chapter’s pivot verse is not a vague inspirational aside.</w:t>
      </w:r>
      <w:r>
        <w:t xml:space="preserve"> </w:t>
      </w:r>
      <w:r>
        <w:t xml:space="preserve">“Come, let us walk in the light of the LORD”</w:t>
      </w:r>
      <w:r>
        <w:t xml:space="preserve"> </w:t>
      </w:r>
      <w:r>
        <w:t xml:space="preserve">is the response that the vision makes possible and that the indictment makes urgent. You can walk in the light of the LORD because the light is real — the future He has announced in vv. 2–4 is not wishful thinking but divine guarantee. This is what separates Isaiah 2:5 from mere moral exhortation: the call to walk is grounded in the certainty of the vision, not in the reader’s capacity to reform. The New Testament names this light as Christ (John 8:12; 1 John 1:7) — the one in whom the exaltation of the LORD’s mountain has already begun, the one who is already gathering the nations, the one before whom every knee will bow. Walking in the light is not aspiration; it is response to a reality already set in motion.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 teaches that the LORD’s glory is categorically incompatible with any rival claimant to ultimate allegiance. The vision of vv. 2–4 establishes this positively — the LORD’s mountain alone will be exalted above all mountains; His law alone will go out as the universal ordering principle of creation; His reign alone will produce lasting peace. The indictment and Day of the LORD material establish this negatively — everything that human beings elevate in place of the LORD, whether military power, accumulated wealth, or manufactured religion, will be leveled without remainder. Crucially, the passage teaches that the LORD’s judgment is not reactive or arbitrary but structurally inevitable: things that are lifted up in place of the only One who deserves to be lifted up will fall precisely because they are not the LORD. The chapter also establishes that the LORD’s eschatological purposes are universal in scope — the nations, not merely Israel, are in view in both the vision and the judgment — and that His exaltation is the endpoint toward which all of history is moving.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 operates with a logic that is thoroughly Reformed: the gospel does not merely offer God as a supplement to human flourishing but demands the dethroning of every competing claim to ultimate allegiance. The Reformers identified this as the first commandment in its deepest application — not merely the prohibition of formal idol worship but the demand that the heart have no functional god beside the LORD. The chapter’s structure — vision before indictment, eschatology before ethics, the future establishing the claim on the present — is characteristic of Reformed preaching’s insistence that the indicative must precede and ground every imperative. Israel is not told to stop trusting in false securities because it is dangerous or foolish in the abstract; they are told to stop because the LORD who will be alone exalted has already revealed what the end looks like. The partial fulfillment of vv. 2–4 in the gospel age (Christ gathering the nations) and its consummation at the return of Christ is also quintessentially Reformed and covenantal: the same promises made to Abraham and developed through Isaiah are the promises fulfilled in Christ and completed in the new creation, with no artificial dispensational gap required.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form of security you have built or borrowed outside of the LORD will be thrown into the rocks on that day — the wealth, the alliances, the self-made religion, the human approval. The LORD alone will be exalted. Walk now in the light of the future He has already secured, and stop trusting in what has only a breath in its nostrils.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vision and the indictment as disconnected units.</w:t>
      </w:r>
      <w:r>
        <w:t xml:space="preserve"> </w:t>
      </w:r>
      <w:r>
        <w:t xml:space="preserve">The most common homiletical failure with Isaiah 2 is treating vv. 1–4 as a standalone messianic prophecy and vv. 6–22 as a separate oracle of judgment, with v. 5 as a bridge that gets either skipped or treated as a transitional formula. The entire argument depends on the contrast being held together. The vision is what makes the indictment devastating; the indictment is what makes the vision urgent. Preach them as one movement, not two.</w:t>
      </w:r>
    </w:p>
    <w:p>
      <w:pPr>
        <w:numPr>
          <w:ilvl w:val="0"/>
          <w:numId w:val="1002"/>
        </w:numPr>
      </w:pPr>
      <w:r>
        <w:rPr>
          <w:b/>
          <w:bCs/>
        </w:rPr>
        <w:t xml:space="preserve">Reducing the indictment to a generic critique of materialism or militarism.</w:t>
      </w:r>
      <w:r>
        <w:t xml:space="preserve"> </w:t>
      </w:r>
      <w:r>
        <w:t xml:space="preserve">Isaiah 2:6–8 is not a social-justice sermon against wealth or a pacifist sermon against military buildup. The specific sin being indicted is the theological sin of supplementing the LORD — filling the space that belongs to Him with alternatives. Preaching this as</w:t>
      </w:r>
      <w:r>
        <w:t xml:space="preserve"> </w:t>
      </w:r>
      <w:r>
        <w:t xml:space="preserve">“don’t be too attached to money”</w:t>
      </w:r>
      <w:r>
        <w:t xml:space="preserve"> </w:t>
      </w:r>
      <w:r>
        <w:t xml:space="preserve">domesticates the passage and loses its theological force. The issue is not what Israel has too much of but</w:t>
      </w:r>
      <w:r>
        <w:t xml:space="preserve"> </w:t>
      </w:r>
      <w:r>
        <w:rPr>
          <w:i/>
          <w:iCs/>
        </w:rPr>
        <w:t xml:space="preserve">who they have replaced the LORD with</w:t>
      </w:r>
      <w:r>
        <w:t xml:space="preserve">.</w:t>
      </w:r>
    </w:p>
    <w:p>
      <w:pPr>
        <w:numPr>
          <w:ilvl w:val="0"/>
          <w:numId w:val="1002"/>
        </w:numPr>
      </w:pPr>
      <w:r>
        <w:rPr>
          <w:b/>
          <w:bCs/>
        </w:rPr>
        <w:t xml:space="preserve">Turning verse 22 into a dismissal of human relationships or institutions.</w:t>
      </w:r>
      <w:r>
        <w:t xml:space="preserve"> </w:t>
      </w:r>
      <w:r>
        <w:t xml:space="preserve">“Stop trusting in mere humans”</w:t>
      </w:r>
      <w:r>
        <w:t xml:space="preserve"> </w:t>
      </w:r>
      <w:r>
        <w:t xml:space="preserve">is not a call to distrust everyone or to withdraw from human community. The specific charge is against locating ultimate reliance in what is creaturely and mortal. Preaching this as</w:t>
      </w:r>
      <w:r>
        <w:t xml:space="preserve"> </w:t>
      </w:r>
      <w:r>
        <w:t xml:space="preserve">“don’t depend on people”</w:t>
      </w:r>
      <w:r>
        <w:t xml:space="preserve"> </w:t>
      </w:r>
      <w:r>
        <w:t xml:space="preserve">can produce an unhealthy individualism and misses the passage’s target: the specific posture of trusting in human strength, human alliances, and human power as if they were the LORD.</w:t>
      </w:r>
    </w:p>
    <w:p>
      <w:pPr>
        <w:numPr>
          <w:ilvl w:val="0"/>
          <w:numId w:val="1002"/>
        </w:numPr>
      </w:pPr>
      <w:r>
        <w:rPr>
          <w:b/>
          <w:bCs/>
        </w:rPr>
        <w:t xml:space="preserve">Failing to preach the Day of the LORD material with appropriate weight.</w:t>
      </w:r>
      <w:r>
        <w:t xml:space="preserve"> </w:t>
      </w:r>
      <w:r>
        <w:t xml:space="preserve">The imagery of vv. 10–21 is among the most kinetic in Isaiah — cedars of Lebanon, towers, ships of Tarshish, people fleeing into rock crevices with their useless idols. Preachers often rush through or soften this material to reach the</w:t>
      </w:r>
      <w:r>
        <w:t xml:space="preserve"> </w:t>
      </w:r>
      <w:r>
        <w:t xml:space="preserve">“positive”</w:t>
      </w:r>
      <w:r>
        <w:t xml:space="preserve"> </w:t>
      </w:r>
      <w:r>
        <w:t xml:space="preserve">application. Isaiah does not soften it. The terror of the Day is part of the message, and the image of people hiding from God with their gold idols tucked under their arms is meant to expose the absurdity of idolatry in the starkest possible terms. Let the image work.</w:t>
      </w:r>
    </w:p>
    <w:p>
      <w:pPr>
        <w:numPr>
          <w:ilvl w:val="0"/>
          <w:numId w:val="1002"/>
        </w:numPr>
      </w:pPr>
      <w:r>
        <w:rPr>
          <w:b/>
          <w:bCs/>
        </w:rPr>
        <w:t xml:space="preserve">Applying verse 5 as pure moralism without grounding it in the certainty of the vision.</w:t>
      </w:r>
      <w:r>
        <w:t xml:space="preserve"> </w:t>
      </w:r>
      <w:r>
        <w:t xml:space="preserve">“Walk in the light of the LORD”</w:t>
      </w:r>
      <w:r>
        <w:t xml:space="preserve"> </w:t>
      </w:r>
      <w:r>
        <w:t xml:space="preserve">disconnected from vv. 2–4 becomes a piece of religious advice — try harder, be more spiritual. Connected to vv. 2–4, it is a call to live now in light of a guaranteed future. The ability to walk in the light depends entirely on whether the light is real and coming. Preaching v. 5 as imperative without the prior indicative of vv. 2–4 produces moralism; grounding the imperative in the vision produces gospel-motivated response.</w:t>
      </w:r>
    </w:p>
    <w:p>
      <w:pPr>
        <w:numPr>
          <w:ilvl w:val="0"/>
          <w:numId w:val="1002"/>
        </w:numPr>
      </w:pPr>
      <w:r>
        <w:rPr>
          <w:b/>
          <w:bCs/>
        </w:rPr>
        <w:t xml:space="preserve">Missing the New Testament fulfillment and treating the passage as strictly future.</w:t>
      </w:r>
      <w:r>
        <w:t xml:space="preserve"> </w:t>
      </w:r>
      <w:r>
        <w:t xml:space="preserve">The exaltation of the LORD’s mountain, the gathering of the nations, and the going out of the LORD’s law from Zion find their inaugural fulfillment in the exaltation of Christ, the mission of the church, and the outpouring of the Spirit (cf. Philippians 2:9–11; Acts 2). Preaching this as entirely future leaves the passage with no present traction. The New Testament does not tell us that Isaiah 2 is waiting to be fulfilled; it tells us that its fulfillment has begun in Christ. The Day of the LORD awaits its final expression; the ingathering of the nations is already in motion. Both realities must be held.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2026-07-14T21:05:27Z</dcterms:created>
  <dcterms:modified xsi:type="dcterms:W3CDTF">2026-07-14T21:05:27Z</dcterms:modified>
</cp:coreProperties>
</file>

<file path=docProps/custom.xml><?xml version="1.0" encoding="utf-8"?>
<Properties xmlns="http://schemas.openxmlformats.org/officeDocument/2006/custom-properties" xmlns:vt="http://schemas.openxmlformats.org/officeDocument/2006/docPropsVTypes"/>
</file>